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1t3h5sf"/>
      <w:bookmarkEnd w:id="0"/>
      <w:r>
        <w:rPr>
          <w:rFonts w:eastAsia="Arial" w:cs="Arial" w:ascii="Arial" w:hAnsi="Arial"/>
          <w:sz w:val="36"/>
          <w:szCs w:val="36"/>
          <w:lang w:val="sk-SK"/>
        </w:rPr>
        <w:t>Zmluva o dielo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ab/>
        <w:tab/>
        <w:tab/>
        <w:tab/>
        <w:tab/>
        <w:t>číslo: ............../2020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sz w:val="20"/>
          <w:szCs w:val="20"/>
          <w:lang w:val="sk-SK"/>
        </w:rPr>
        <w:t>uzatvorená v zmysle ustanovení § 536 a nasl. Obchodného zákonníka v platnom znení nasledovne:</w:t>
      </w:r>
    </w:p>
    <w:p>
      <w:pPr>
        <w:pStyle w:val="Normal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Zmluvné strany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 </w:t>
      </w:r>
    </w:p>
    <w:p>
      <w:pPr>
        <w:pStyle w:val="Normal"/>
        <w:rPr/>
      </w:pPr>
      <w:r>
        <w:rPr>
          <w:rStyle w:val="Predvolenpsmoodseku"/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>1. Objednávateľ:  Obec Devičie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S</w:t>
      </w: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ídlo: Devičie č. 161,  962 65 Hontianske Nemce 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zastúpený: Mgr. Jánom Balážom – starostom obce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IČO: 00649384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Bankové spojenie: VÚB, a. s. 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>DIČ: 2021120508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lang w:val="sk-SK"/>
        </w:rPr>
        <w:t xml:space="preserve">IBAN: </w:t>
      </w:r>
      <w:r>
        <w:rPr>
          <w:rStyle w:val="Predvolenpsmoodseku"/>
          <w:rFonts w:cs="Arial"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sk-SK"/>
        </w:rPr>
        <w:t>SK90 0200 0000 0024 5241 9354</w:t>
      </w:r>
    </w:p>
    <w:p>
      <w:pPr>
        <w:pStyle w:val="Normal"/>
        <w:tabs>
          <w:tab w:val="clear" w:pos="709"/>
        </w:tabs>
        <w:ind w:left="0" w:hanging="0"/>
        <w:rPr/>
      </w:pPr>
      <w:bookmarkStart w:id="1" w:name="contact_DFText_2-school_phone1"/>
      <w:bookmarkEnd w:id="1"/>
      <w:r>
        <w:rPr>
          <w:rStyle w:val="Predvolenpsmoodseku"/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Telefón: </w:t>
      </w:r>
      <w:bookmarkStart w:id="2" w:name="contact_DFText_2-school_phone2"/>
      <w:bookmarkEnd w:id="2"/>
      <w:r>
        <w:rPr>
          <w:rStyle w:val="Predvolenpsmoodseku"/>
          <w:rFonts w:cs="Arial" w:ascii="Arial" w:hAnsi="Arial"/>
          <w:b w:val="false"/>
          <w:bCs w:val="false"/>
          <w:color w:val="000000"/>
          <w:sz w:val="22"/>
          <w:szCs w:val="22"/>
          <w:lang w:val="sk-SK"/>
        </w:rPr>
        <w:t>045/559 14 80, 0905 758 895</w:t>
      </w:r>
    </w:p>
    <w:p>
      <w:pPr>
        <w:pStyle w:val="Normal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E-mail:</w:t>
      </w:r>
      <w:r>
        <w:rPr>
          <w:rStyle w:val="Skypetbinnertext"/>
          <w:rFonts w:cs="Arial" w:ascii="Arial" w:hAnsi="Arial"/>
          <w:sz w:val="22"/>
          <w:szCs w:val="22"/>
          <w:lang w:val="sk-SK"/>
        </w:rPr>
        <w:t xml:space="preserve"> </w:t>
      </w:r>
      <w:bookmarkStart w:id="3" w:name="contact_DFText_2-school_email1"/>
      <w:bookmarkEnd w:id="3"/>
      <w:r>
        <w:rPr>
          <w:rStyle w:val="Skypetbinnertext"/>
          <w:rFonts w:cs="Arial" w:ascii="Arial" w:hAnsi="Arial"/>
          <w:b w:val="false"/>
          <w:sz w:val="22"/>
          <w:szCs w:val="22"/>
          <w:lang w:val="sk-SK"/>
        </w:rPr>
        <w:t xml:space="preserve"> </w:t>
      </w:r>
      <w:hyperlink r:id="rId2" w:tgtFrame="_blank">
        <w:r>
          <w:rPr>
            <w:rStyle w:val="Internetovodkaz"/>
            <w:rFonts w:cs="Arial" w:ascii="Arial" w:hAnsi="Arial"/>
            <w:b w:val="false"/>
            <w:sz w:val="22"/>
            <w:szCs w:val="22"/>
            <w:lang w:val="sk-SK"/>
          </w:rPr>
          <w:t>ocudevicie@gmail.com</w:t>
        </w:r>
      </w:hyperlink>
    </w:p>
    <w:p>
      <w:pPr>
        <w:pStyle w:val="Index"/>
        <w:tabs>
          <w:tab w:val="clear" w:pos="709"/>
        </w:tabs>
        <w:ind w:left="0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>Oprávnené osoby na rokovanie:</w:t>
      </w:r>
    </w:p>
    <w:p>
      <w:pPr>
        <w:pStyle w:val="Odsekzoznamu"/>
        <w:numPr>
          <w:ilvl w:val="0"/>
          <w:numId w:val="0"/>
        </w:numPr>
        <w:ind w:left="708" w:hanging="0"/>
        <w:rPr/>
      </w:pPr>
      <w:r>
        <w:rPr>
          <w:rStyle w:val="Predvolenpsmoodseku"/>
          <w:rFonts w:cs="Arial" w:ascii="Arial" w:hAnsi="Arial"/>
          <w:sz w:val="22"/>
          <w:szCs w:val="22"/>
          <w:lang w:val="sk-SK"/>
        </w:rPr>
        <w:t xml:space="preserve">-  vo veciach technických: </w:t>
      </w:r>
      <w:r>
        <w:rPr>
          <w:rStyle w:val="Predvolenpsmoodseku"/>
          <w:rFonts w:cs="Arial" w:ascii="Arial" w:hAnsi="Arial"/>
          <w:i w:val="false"/>
          <w:iCs w:val="false"/>
          <w:color w:val="000000"/>
          <w:sz w:val="22"/>
          <w:szCs w:val="22"/>
          <w:lang w:val="sk-SK"/>
        </w:rPr>
        <w:t>Mgr. Ján Baláž</w:t>
      </w:r>
    </w:p>
    <w:p>
      <w:pPr>
        <w:pStyle w:val="Normal"/>
        <w:rPr/>
      </w:pPr>
      <w:r>
        <w:rPr>
          <w:rStyle w:val="Predvolenpsmoodseku"/>
          <w:rFonts w:eastAsia="Arial" w:cs="Arial" w:ascii="Arial" w:hAnsi="Arial"/>
          <w:i w:val="false"/>
          <w:iCs w:val="false"/>
          <w:color w:val="000000"/>
          <w:sz w:val="22"/>
          <w:szCs w:val="22"/>
          <w:lang w:val="sk-SK"/>
        </w:rPr>
        <w:t>-  vo veciach zmluvných: Mgr. Ján Baláž</w:t>
      </w:r>
    </w:p>
    <w:p>
      <w:pPr>
        <w:pStyle w:val="Normal"/>
        <w:rPr>
          <w:rFonts w:cs="Arial"/>
          <w:b w:val="false"/>
          <w:b w:val="false"/>
          <w:bCs/>
          <w:szCs w:val="24"/>
          <w:lang w:val="sk-SK"/>
        </w:rPr>
      </w:pPr>
      <w:r>
        <w:rPr>
          <w:rFonts w:cs="Arial"/>
          <w:b w:val="false"/>
          <w:bCs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>2.   Zhotoviteľ: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Sídlo: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zastúpený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 DPH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DIČ: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Bankové spojenie: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IBAN:</w:t>
        <w:tab/>
        <w:tab/>
        <w:tab/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Zapísaný 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Telefón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E-mail: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Oprávnené osoby na rokovanie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-  vo veciach technických :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28" w:leader="none"/>
        </w:tabs>
        <w:ind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-  vo veciach zmluvných :</w:t>
      </w:r>
    </w:p>
    <w:p>
      <w:pPr>
        <w:pStyle w:val="Normal"/>
        <w:tabs>
          <w:tab w:val="clear" w:pos="709"/>
          <w:tab w:val="left" w:pos="1428" w:leader="none"/>
        </w:tabs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"/>
        </w:numPr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Predmet zmluvy</w:t>
      </w:r>
    </w:p>
    <w:p>
      <w:pPr>
        <w:pStyle w:val="Normal"/>
        <w:ind w:left="1440" w:hanging="0"/>
        <w:rPr>
          <w:rFonts w:ascii="Arial" w:hAnsi="Arial" w:eastAsia="Arial" w:cs="Arial"/>
          <w:color w:val="000000"/>
          <w:sz w:val="14"/>
          <w:szCs w:val="14"/>
          <w:lang w:val="sk-SK"/>
        </w:rPr>
      </w:pPr>
      <w:r>
        <w:rPr>
          <w:rFonts w:eastAsia="Arial" w:cs="Arial" w:ascii="Arial" w:hAnsi="Arial"/>
          <w:color w:val="000000"/>
          <w:sz w:val="14"/>
          <w:szCs w:val="14"/>
          <w:lang w:val="sk-SK"/>
        </w:rPr>
      </w:r>
    </w:p>
    <w:p>
      <w:pPr>
        <w:pStyle w:val="Normal"/>
        <w:numPr>
          <w:ilvl w:val="0"/>
          <w:numId w:val="2"/>
        </w:numPr>
        <w:ind w:left="720" w:hanging="397"/>
        <w:jc w:val="left"/>
        <w:rPr>
          <w:lang w:val="sk-SK"/>
        </w:rPr>
      </w:pPr>
      <w:bookmarkStart w:id="4" w:name="_4d34og8"/>
      <w:bookmarkEnd w:id="4"/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Predmetom tejto zmluvy je realizácia diela v rozsahu cenovej ponuky Zhotoviteľa vypracovanej na základe podkladov poskytnutých od objednávateľa na stavbe Úprava verejného priestranstva  - tvorba oddychovej zóny v obci Devičie. Miesto plnenia je katastrálne územie obce Devičie; parc. č.  2948/2, 2948/3 a 112/2. 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hotoviteľ sa zaväzuje, že za podmienok stanovených v tejto zmluve a vo výzve na predkladanie ponúk  zabezpečí realizáciu diela podľa „VÝKAZU VÝMER“/ „POLOŽKOVITÉHO ROZPOČTU“ oceneného zhotoviteľom, ktorý tvorí neoddeliteľnú súčasť zmluvy (Príloha č.1 zmluvy) a podľa projektovej dokumentácie od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Ing. arch. Ivana Supuka, autorizovaného architekta, reg. číslo 0348 AA,  Internátna 47, 974 04 Banská Bystrica.  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vykonať pre objednávateľa dielo na svoj náklad, vo vlastnom mene a na vlastnú zodpovednosť.</w:t>
      </w:r>
    </w:p>
    <w:p>
      <w:pPr>
        <w:pStyle w:val="Normal"/>
        <w:numPr>
          <w:ilvl w:val="0"/>
          <w:numId w:val="2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 sa zaväzuje riadne zhotovené dielo, vykonané podľa tejto zmluvy prevziať a zaplatiť zaň dohodnutú cenu.</w:t>
      </w:r>
    </w:p>
    <w:p>
      <w:pPr>
        <w:pStyle w:val="Normal"/>
        <w:ind w:left="720" w:hanging="397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397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14"/>
          <w:szCs w:val="14"/>
          <w:lang w:val="sk-SK"/>
        </w:rPr>
      </w:pPr>
      <w:r>
        <w:rPr>
          <w:rFonts w:eastAsia="Arial" w:cs="Arial" w:ascii="Arial" w:hAnsi="Arial"/>
          <w:sz w:val="14"/>
          <w:szCs w:val="14"/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Termín zhotovenia diela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Predmet zmluvy začne zhotoviteľ uskutočňovať do 7 pracovných dní po písomnej výzve objednávateľa.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Zmluvné strany dohodli, že dielo bude zrealizované  v období od </w:t>
      </w:r>
      <w:r>
        <w:rPr>
          <w:rFonts w:eastAsia="" w:cs="Arial" w:ascii="Arial" w:hAnsi="Arial" w:eastAsiaTheme="minorHAnsi"/>
          <w:color w:val="000000"/>
          <w:kern w:val="0"/>
          <w:sz w:val="22"/>
          <w:szCs w:val="22"/>
          <w:lang w:val="sk-SK" w:eastAsia="en-US"/>
        </w:rPr>
        <w:t xml:space="preserve">pridelenia finančných prostriedkov 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do </w:t>
      </w:r>
      <w:r>
        <w:rPr>
          <w:rFonts w:eastAsia="" w:cs="Arial" w:ascii="Arial" w:hAnsi="Arial" w:eastAsiaTheme="minorHAnsi"/>
          <w:color w:val="000000"/>
          <w:kern w:val="0"/>
          <w:sz w:val="22"/>
          <w:szCs w:val="22"/>
          <w:lang w:val="sk-SK" w:eastAsia="en-US"/>
        </w:rPr>
        <w:t xml:space="preserve"> 31.12.2021.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odovzdá predmet plnenia najneskôr do 90 dní od začatia prác. Ak predmet plnenia zhotoviteľ ukončí pred dohodnutým termínom, objednávateľ sa zaväzuje ho prevziať aj v skoršom ponúknutom termíne.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Dielo sa považuje za zhotovené vykonaním všetkých prác a dodávok podľa čl. II.tejto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zmluvy bez akýchkoľvek vád a nedorobkov. Za odovzdané a prevzaté sa dielo považuje vykonaním prehliadky objednávateľa a zhotoviteľa a podpísaním zápisnice o odovzdaní a prevzatí diela oboma zmluvnými stranami. 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nie je povinný prevziať dielo s vadami. V tomto prípade objednávateľ určí zhotoviteľovi primeranú lehotu na odstránenie vád a nedorobkov.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Dodržanie času plnenia zo strany zhotoviteľa je závislé od riadneho a včasného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poskytnutia súčinnosti objednávateľa dohodnutého v tejto zmluve. Po dobu omeškania objednávateľa s poskytnutím súčinnosti nie je zhotoviteľ v omeškaní so splnením záväzku, vtedy je doba zhotovenia predĺžená o omeškania objednávateľa.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Lehota uvedená v bode 2 je najneskoršie prípustná a neprekročiteľná s výnimkou: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vyššej moci (neočakávané prírodné a iné javy),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 prípade zmien a v rozsahu podľa pokynov objednávateľa,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vydania príkazov a zákazov orgánov verejnej správy, ak tieto neboli vyvolané/ spôsobené konaním zhotoviteľa.</w:t>
      </w:r>
    </w:p>
    <w:p>
      <w:pPr>
        <w:pStyle w:val="Normal"/>
        <w:numPr>
          <w:ilvl w:val="0"/>
          <w:numId w:val="3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Predĺžené lehoty plnenia sa určia maximálne v preukázateľne nevyhnutnej dĺžke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trvania okolnosti podľa bodu 6.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Cena diela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14"/>
          <w:szCs w:val="14"/>
          <w:lang w:val="sk-SK"/>
        </w:rPr>
      </w:pPr>
      <w:r>
        <w:rPr>
          <w:rFonts w:eastAsia="Arial" w:cs="Arial" w:ascii="Arial" w:hAnsi="Arial"/>
          <w:b/>
          <w:sz w:val="14"/>
          <w:szCs w:val="14"/>
          <w:lang w:val="sk-SK"/>
        </w:rPr>
      </w:r>
    </w:p>
    <w:p>
      <w:pPr>
        <w:pStyle w:val="Normal"/>
        <w:numPr>
          <w:ilvl w:val="0"/>
          <w:numId w:val="4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Cena za dielo je stanovená dohodou zmluvných strán podľa zákona č. 18/1996 Z. z. o cenách v znení neskorších predpisov a platná pri splnení kvalitatívnych a dodacích podmienok, určených STN, pri dodržaní bežných technologických postupov a bezpečnostných predpisov, materiálov a technologických častí v I. kvalitatívnej triede vo výške: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tbl>
      <w:tblPr>
        <w:tblStyle w:val="a0"/>
        <w:tblW w:w="8010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010"/>
      </w:tblGrid>
      <w:tr>
        <w:trPr>
          <w:trHeight w:val="580" w:hRule="atLeast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bez 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DPH 20 % 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spolu s DPH:</w:t>
            </w:r>
          </w:p>
          <w:p>
            <w:pPr>
              <w:pStyle w:val="Normal"/>
              <w:rPr>
                <w:lang w:val="sk-SK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 xml:space="preserve">Slovom: </w:t>
            </w:r>
          </w:p>
        </w:tc>
      </w:tr>
    </w:tbl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4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Cena za zhotovenie diela stanovená v bode 1 tohto článku je doložená položkovitým rozpočtom. 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Fakturácia a platenie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14"/>
          <w:szCs w:val="14"/>
          <w:lang w:val="sk-SK"/>
        </w:rPr>
      </w:pPr>
      <w:r>
        <w:rPr>
          <w:rFonts w:eastAsia="Arial" w:cs="Arial" w:ascii="Arial" w:hAnsi="Arial"/>
          <w:b/>
          <w:sz w:val="14"/>
          <w:szCs w:val="14"/>
          <w:lang w:val="sk-SK"/>
        </w:rPr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Ak budú zo strany objednávateľa požadované menej práce a dodávky oproti zmluve, tieto budú odpočítané z ceny diela na základe položiek podľa cenovej ponuky predloženej zhotoviteľom.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Lehota splatnosti faktúr je do 60 dní.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Fakturácia sa uskutoční jedenkrát mesačne po ukončení prác a dodávok na základe súpisu vykonaných prác a dodávok  potvrdených objednávateľom podľa cenovej kalkulácie. Faktúry budú vystavené podľa zmluvy spolu s príslušnou DPH, pripadajúcou na fakturované vykonané práce.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Zhotoviteľ predloží Objednávateľovi najneskôr po skončení mesiaca pred vystavením faktúry, na vecnú kontrolu mesačný súpis skutočne vykonaných množstiev prác a dodávok.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Po ukončení diela v deň odovzdávacieho a preberacieho konania zhotoviteľ predloží konečnú faktúru, ktorej splatnosť je do 60 dní. Prílohou faktúry bude súpis vykonaných prác.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Faktúra – originálny písomný doklad musí spĺňať </w:t>
      </w:r>
      <w:r>
        <w:rPr>
          <w:rFonts w:eastAsia="Arial" w:cs="Arial" w:ascii="Arial" w:hAnsi="Arial"/>
          <w:sz w:val="21"/>
          <w:szCs w:val="21"/>
          <w:lang w:val="sk-SK"/>
        </w:rPr>
        <w:t>náležitosti daňového a účtovného dokladu v jednom a musí obsahovať originálny podpis vystavujúcej strany s týmito údajmi: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označenie, že ide o faktúru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IČO oboch zmluvných strán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náležitosti podľa § 71 ods. 2 zák. č. 222/2004 Z. z. v znení neskorších predpisov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číslo objednávky alebo zmluvy (vrátane platných dokladov)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vystavenia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odoslania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termín splatnosti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konštantný symbol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názov a  cenu diela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formu úhrady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výšku plnenia celkom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sumu k úhrade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meno, podpis a telefonické spojenie zodpovedného zamestnanca vystavovateľa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pečiatku vystavovateľa faktúry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miesto výkonu prác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sz w:val="21"/>
          <w:szCs w:val="21"/>
          <w:lang w:val="sk-SK"/>
        </w:rPr>
        <w:t>V prípade, že faktúra nebude obsahovať náležitosti dohodnuté v bode 4 tohto článku, je objednávateľ oprávnený faktúru vrátiť bez zaplatenia. Oprávneným vrátením faktúry prestáva plynúť lehota splatnosti a táto plynie celá odo dňa doručenia opravenej (novej) faktúry.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Faktúra musí byť vystavená  a doručená objednávateľovi v dvoch origináloch.</w:t>
      </w:r>
    </w:p>
    <w:p>
      <w:pPr>
        <w:pStyle w:val="Normal"/>
        <w:ind w:left="720" w:hanging="0"/>
        <w:jc w:val="both"/>
        <w:rPr>
          <w:rFonts w:ascii="Arial" w:hAnsi="Arial" w:eastAsia="Arial" w:cs="Arial"/>
          <w:b/>
          <w:b/>
          <w:sz w:val="14"/>
          <w:szCs w:val="14"/>
          <w:lang w:val="sk-SK"/>
        </w:rPr>
      </w:pPr>
      <w:r>
        <w:rPr>
          <w:rFonts w:eastAsia="Arial" w:cs="Arial" w:ascii="Arial" w:hAnsi="Arial"/>
          <w:b/>
          <w:sz w:val="14"/>
          <w:szCs w:val="14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zhotoviteľa</w:t>
      </w:r>
    </w:p>
    <w:p>
      <w:pPr>
        <w:pStyle w:val="Normal"/>
        <w:ind w:left="720" w:hanging="0"/>
        <w:rPr>
          <w:rFonts w:ascii="Arial" w:hAnsi="Arial" w:eastAsia="Arial" w:cs="Arial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7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Zodpovedným zástupcom zhotoviteľa pre realizáciu diela je ……………………. </w:t>
      </w:r>
    </w:p>
    <w:p>
      <w:pPr>
        <w:pStyle w:val="Normal"/>
        <w:numPr>
          <w:ilvl w:val="0"/>
          <w:numId w:val="7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poveruje funkciou stavebného dozoru zodpovedného pracovníka: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.............................................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bude pri plnení predmetu tejto zmluvy postupovať s odbornou starostlivosťou. Zaväzuje sa dodržať technické normy a podmienky tejto zmluvy. Zhotoviteľ sa bude riadiť východiskovými podkladmi objednávateľa, pokynmi objednávateľa, zápismi a dohodami oprávnených pracovníkov zmluvných strán.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Stavebné práce vykonané Zhotoviteľom diela musia byť vykonané podľa technologických postupov v zmysle STN platných v čase realizácie diela, pri dodržaní predpisov o bezpečnosti a ochrany zdravia pri práci.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nesie zodpovednosť za bezpečnosť a ochranu zdravia svojich pracovníkov.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poriadok a čistotu na stavenisku.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zrealizovať dielo v požadovanej kvalite a v súlade s platnými normami.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viesť stavebný denník v súlade s §46 pís. d zákona č. 50/1976 Zb. o územnom plánovaní a stavebnom poriadku v znení neskorších predpisov. Stavebný denník musí byť na stavbe trvale prístupný stavebnému dozoru Objednávateľa, prípadne iným osobám, ktoré majú právo robiť v ňom zápisy alebo kontroly.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strpieť výkon kontroly/auditu/overovania súvisiaceho s dodávateľskými prácami kedykoľvek, a to oprávnenými osobami v zmysle všeobecných zmluvných podmienok zmluvy o poskytnutí NFP a poskytnúť im všetku potrebnú súčinnosť.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14"/>
          <w:szCs w:val="14"/>
          <w:lang w:val="sk-SK"/>
        </w:rPr>
      </w:pPr>
      <w:r>
        <w:rPr>
          <w:rFonts w:eastAsia="Arial" w:cs="Arial" w:ascii="Arial" w:hAnsi="Arial"/>
          <w:color w:val="000000"/>
          <w:sz w:val="14"/>
          <w:szCs w:val="14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objednávateľa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Objednávateľ sa zaväzuje, že prevezme ukončené dielo písomnou formou a to zápisom o odovzdaní a prevzatí diela. </w:t>
      </w:r>
    </w:p>
    <w:p>
      <w:pPr>
        <w:pStyle w:val="Normal"/>
        <w:numPr>
          <w:ilvl w:val="0"/>
          <w:numId w:val="8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zaplatí za zhotovenie diela dohodnutú sumu v dohodnutom termíne.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Zodpovednosť za vady, záruka, škody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zodpovedá za to, že predmet tejto zmluvy je zhotovený podľa podmienok zmluvy, a že počas záručnej doby bude mať vlastnosti dohodnuté v tejto zmluve.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zodpovedá za závady, ktoré dielo má v čase jeho odovzdania objednávateľovi. Za závady, ktoré sa prejavili po odovzdaní diela, zodpovedá zhotoviteľ iba vtedy, ak neboli spôsobené zlým užívaním diela.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nezodpovedá za závady diela, ktoré boli spôsobené použitím podkladov a vecí poskytnutých objednávateľom a zhotoviteľ ani pri vynaložení všetkej starostlivosti nemohol zistiť ich nevhodnosť, alebo na ňu upozornil objednávateľa a ten na ich použití trval.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Záručná lehota na dielo, ktoré je predmetom zmluvy je 60, slovom šesťdesiat mesiacov Záruka začína plynúť dňom odovzdania diela objednávateľovi. Pokiaľ objednávateľ bezdôvodne oddiali prevzatie diela po vyzvaní zhotoviteľom - záručná doba sa adekvátne skráti.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nezodpovedá za kvalitu prevedených prác a dodaného materiálu v prípadoch: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  ak zariadenie poškodí objednávateľ alebo tretia osoba,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ak poškodenie vznikne nesprávnym zaobchádzaním alebo nepovolenou manipuláciou. 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Prípadné reklamácie objednávateľ uplatní písomnou formou na adresu zhotoviteľa, bez zbytočných odkladov, po zistení nedostatkov, alebo poruchy - s popisom závady, poprípade uvedie ako sa prejavuje závada.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nahlásenú závadu začať odstraňovať do 24 hodín od prijatia písomnej reklamácie a závadu odstrániť čo v najkratšom čase. V prípade, že závadu nemôže z technických príčin odstrániť do 24 hodín, upozorní objednávateľa na dôvod a určí najkratší možný termín odstránenia závady</w:t>
      </w:r>
      <w:r>
        <w:rPr>
          <w:rFonts w:eastAsia="Arial" w:cs="Arial" w:ascii="Arial" w:hAnsi="Arial"/>
          <w:b/>
          <w:color w:val="000000"/>
          <w:sz w:val="22"/>
          <w:szCs w:val="22"/>
          <w:lang w:val="sk-SK"/>
        </w:rPr>
        <w:t>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splní svoju povinnosť vykonať dielo, ktoré je predmetom tejto zmluvy, riadnou realizáciou prác. Zhotoviteľ odovzdá dielo objednávateľovi a objednávateľ je povinný riadne ukončené dielo bez vád a nedorobkov prevziať. Objednávateľ môže prevziať i dielo, ktoré má drobné vady a nedorobky, nebrániace jeho riadnemu užívaniu.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pri odovzdaní a prevzatí spíšu zápisnicu o odovzdaní a prevzatí, ktorá bude podpísaná oboma zmluvnými stranami. V zápisnici musí objednávateľ výslovne prehlásiť, či dielo preberá alebo nie a pokiaľ nie, z akých dôvodov.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vady ním spôsobené, ktoré má dielo v čase jeho odovzdania, ako aj za vady, ktoré sa vyskytnú po prevzatí diela v rozsahu § 560 – 562 Obchodného zákonníka.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prípadné vady diela bezplatne odstrániť bez zbytočného odkladu po uplatnení oprávnenej reklamácie objednávateľom resp. budúcim užívateľom diela v dohodnutých lehotách.</w:t>
      </w:r>
    </w:p>
    <w:p>
      <w:pPr>
        <w:pStyle w:val="Normal"/>
        <w:numPr>
          <w:ilvl w:val="0"/>
          <w:numId w:val="9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V prípade vzniku škody budú zmluvné strany postupovať pri je náhrade v súlade s ustanoveniami § 373 – 386 Obchodného zákonníka.</w:t>
      </w:r>
    </w:p>
    <w:p>
      <w:pPr>
        <w:pStyle w:val="Normal"/>
        <w:spacing w:before="120" w:after="120"/>
        <w:ind w:left="72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spacing w:before="120" w:after="120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IX.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Prekážky v práci, prerušenie prác, zastavenie prác</w:t>
      </w:r>
    </w:p>
    <w:p>
      <w:pPr>
        <w:pStyle w:val="Normal"/>
        <w:numPr>
          <w:ilvl w:val="0"/>
          <w:numId w:val="10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osobitne uhradí zhotoviteľovi všetky preukázateľné náklady súvisiace s odstránením nepredvídaných prekážok, ktoré sa vyskytnú pri realizácii diela, okrem prekážok, ktoré zavinil zhotoviteľ. Súčasne budú dodatkom k zmluve upravené všetky ustanovenia zmluvy súvisiace s výskytom a odstránením nepredvídanej prekážky vopred odsúhlasenej stavebným dozorom objednávateľa.</w:t>
      </w:r>
    </w:p>
    <w:p>
      <w:pPr>
        <w:pStyle w:val="Normal"/>
        <w:numPr>
          <w:ilvl w:val="0"/>
          <w:numId w:val="10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Ak objednávateľ alebo orgán na to oprávnený dá príkaz na prerušenie prác, súvisiacich s plnením záväzku, zhotoviteľ je povinný tento príkaz akceptovať a uschovať všetko, čo pripravil na plnenie záväzku.</w:t>
      </w:r>
    </w:p>
    <w:p>
      <w:pPr>
        <w:pStyle w:val="Normal"/>
        <w:numPr>
          <w:ilvl w:val="0"/>
          <w:numId w:val="10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je povinný uhradiť zhotoviteľovi náklady účelne vynaložené v súvislosti s prerušením, ktoré bolo spôsobené z dôvodov mimo zhotoviteľa.</w:t>
      </w:r>
    </w:p>
    <w:p>
      <w:pPr>
        <w:pStyle w:val="Normal"/>
        <w:ind w:left="36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36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Bezriadkovania"/>
        <w:jc w:val="center"/>
        <w:rPr>
          <w:lang w:val="sk-SK"/>
        </w:rPr>
      </w:pPr>
      <w:r>
        <w:rPr>
          <w:rFonts w:ascii="Arial" w:hAnsi="Arial"/>
          <w:b w:val="false"/>
          <w:bCs w:val="false"/>
          <w:lang w:val="sk-SK"/>
        </w:rPr>
        <w:t xml:space="preserve">X. </w:t>
      </w:r>
      <w:r>
        <w:rPr>
          <w:rFonts w:ascii="Arial" w:hAnsi="Arial"/>
          <w:b w:val="false"/>
          <w:bCs w:val="false"/>
          <w:u w:val="single"/>
          <w:lang w:val="sk-SK"/>
        </w:rPr>
        <w:t>Osobitné podmienky plnenia zmluvy - povinnosť zriadiť pracovné miesto</w:t>
      </w:r>
    </w:p>
    <w:p>
      <w:pPr>
        <w:pStyle w:val="Bezriadkovania"/>
        <w:jc w:val="center"/>
        <w:rPr>
          <w:rFonts w:ascii="Arial" w:hAnsi="Arial"/>
          <w:b w:val="false"/>
          <w:b w:val="false"/>
          <w:bCs w:val="false"/>
          <w:u w:val="single"/>
          <w:lang w:val="sk-SK"/>
        </w:rPr>
      </w:pPr>
      <w:r>
        <w:rPr>
          <w:rFonts w:ascii="Arial" w:hAnsi="Arial"/>
          <w:b w:val="false"/>
          <w:bCs w:val="false"/>
          <w:u w:val="single"/>
          <w:lang w:val="sk-SK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40" w:before="62" w:after="62"/>
        <w:ind w:left="720" w:right="0" w:hanging="363"/>
        <w:contextualSpacing/>
        <w:jc w:val="both"/>
        <w:textAlignment w:val="baseline"/>
        <w:outlineLvl w:val="0"/>
        <w:rPr>
          <w:lang w:val="sk-SK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lang w:val="sk-SK"/>
        </w:rPr>
        <w:t xml:space="preserve">1.  Zmluvné strany sa dohodli, že počas doby plnenia tejto zmluvy bude zhotoviteľ v mieste </w:t>
      </w:r>
      <w:r>
        <w:rPr>
          <w:rFonts w:ascii="Arial" w:hAnsi="Arial"/>
          <w:color w:val="000000"/>
          <w:sz w:val="22"/>
          <w:szCs w:val="22"/>
          <w:lang w:val="sk-SK"/>
        </w:rPr>
        <w:t>zhotovovania diela realizovať pre ľudí znevýhodnených na trhu práce,  dočasné vyrovnávacie opatrenia.</w:t>
      </w:r>
    </w:p>
    <w:p>
      <w:pPr>
        <w:pStyle w:val="ListParagraph"/>
        <w:spacing w:before="119" w:after="119"/>
        <w:ind w:left="720" w:hanging="363"/>
        <w:contextualSpacing/>
        <w:jc w:val="both"/>
        <w:rPr>
          <w:lang w:val="sk-SK"/>
        </w:rPr>
      </w:pPr>
      <w:r>
        <w:rPr>
          <w:rFonts w:ascii="Arial" w:hAnsi="Arial"/>
          <w:color w:val="000000"/>
          <w:sz w:val="22"/>
          <w:szCs w:val="22"/>
          <w:lang w:val="sk-SK"/>
        </w:rPr>
        <w:t>2.  Zhotoviteľ sa zaväzuje, že počas doby realizácie stavebných prác, v prípade prijímania nových zamestnancov, uprednostní a zamestná podľa zákona 311/2001 Z.z. (Zákonník práce) minimálne jednu nezamestnanú osobu  s dôrazom na dlhodobo nezamestnané osoby,  príp. vytvorí pracovnú príležitosť pre  starších pracovníkov alebo pre osoby zo znevýhodnených skupín (napríklad etnické menšiny, náboženské menšiny, osoby s nízkym dosiahnutým vzdelaním atď.); osoby so zdravotným postihnutím.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XI.  </w:t>
      </w: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Záverečné ustanovenia</w:t>
      </w:r>
    </w:p>
    <w:p>
      <w:pPr>
        <w:pStyle w:val="Normal"/>
        <w:ind w:left="1440" w:hanging="0"/>
        <w:jc w:val="center"/>
        <w:rPr>
          <w:rFonts w:ascii="Arial" w:hAnsi="Arial" w:eastAsia="Arial" w:cs="Arial"/>
          <w:color w:val="000000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Túto zmluvu je možné zmeniť alebo zrušiť len písomnými dodatkami k nej, podpísanými oprávnenými zástupcami zmluvných strán. To sa týka predovšetkým prípadov obmedzenia rozsahu diela alebo jeho rozšírenia nad rámec tejto zmluvy. V oboch prípadoch je predchádzajúca zmena zmluvy nevyhnutnou podmienkou, bez splnenia ktorej nie je možné požadovať zmenu ceny.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Odkladacia podmienka:</w:t>
      </w:r>
      <w:r>
        <w:rPr>
          <w:rFonts w:eastAsia="Arial" w:cs="Arial" w:ascii="Arial" w:hAnsi="Arial"/>
          <w:color w:val="000000"/>
          <w:sz w:val="22"/>
          <w:szCs w:val="22"/>
          <w:u w:val="none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Realizácia diela je podmienená  pridelením finančných prostriedkov  a schválením procesu zadávania zákazky.  V prípade, ak nebude  </w:t>
      </w:r>
      <w:bookmarkStart w:id="5" w:name="__DdeLink__349_3491184021"/>
      <w:r>
        <w:rPr>
          <w:rFonts w:eastAsia="Arial" w:cs="Arial" w:ascii="Arial" w:hAnsi="Arial"/>
          <w:color w:val="000000"/>
          <w:sz w:val="22"/>
          <w:szCs w:val="22"/>
          <w:lang w:val="sk-SK"/>
        </w:rPr>
        <w:t>schválená žiadosť objednávateľa o  nenávratné  finančné  prostriedky,</w:t>
      </w:r>
      <w:bookmarkEnd w:id="5"/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prípadne  nebude schválená  táto  zmluva v rámci kontroly verejného obstarávania, objednávateľ má právo odstúpiť od tejto zmluvy.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Táto zmluva je vyhotovená v  štyroch  vyhotoveniach, pričom každé z nich je originálom, z ktorých  objednávateľ  dostane 3  vyhotovenia zmluvy a zhotoviteľ  1 vyhotovenie.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Pokiaľ nebolo v zmluve dohodnuté niečo iné, riadia sa právne vzťahy a pomery zo zmluvy vyplývajúce a vznikajúce obchodným zákonníkom.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Zmluva nadobúda platnosť dňom jej podpisu zmluvnými stranami a účinnosť dňom nasledujúcom po dni jej zverejnenia na webovom sídle obce.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Neoddeliteľnou súčasťou tejto zmluvy o dielo je  jedna  príloha: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Položkovitý rozpočet z cenovej ponuky zhotoviteľa</w:t>
      </w:r>
    </w:p>
    <w:p>
      <w:pPr>
        <w:pStyle w:val="Normal"/>
        <w:numPr>
          <w:ilvl w:val="0"/>
          <w:numId w:val="11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vyhlasujú, že si túto zmluvu pred jej podpisom prečítali, že bola spísaná po vzájomnom prerokovaní na základe ich pravej a slobodnej vôle, nie v tiesni a nie za nápadne nevýhodných podmienok a na znak súhlasu s celým jej obsahom ju podpisujú.</w:t>
      </w:r>
    </w:p>
    <w:p>
      <w:pPr>
        <w:pStyle w:val="Normal"/>
        <w:ind w:left="720" w:hanging="0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Devičie 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DD.  apríla 2020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                                       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 Miesto DD. apríla  2020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Za objednávateľa:                                                                    Za zhotoviteľa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........................................................                               ................................................   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</w:t>
      </w:r>
      <w:r>
        <w:rPr>
          <w:rFonts w:eastAsia="Arial" w:cs="Arial" w:ascii="Arial" w:hAnsi="Arial"/>
          <w:sz w:val="22"/>
          <w:szCs w:val="22"/>
          <w:lang w:val="sk-SK"/>
        </w:rPr>
        <w:t>Mgr. Ján Baláž</w:t>
      </w:r>
    </w:p>
    <w:p>
      <w:pPr>
        <w:pStyle w:val="Normal"/>
        <w:ind w:left="720" w:hanging="0"/>
        <w:rPr/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 </w:t>
      </w:r>
      <w:r>
        <w:rPr>
          <w:rFonts w:eastAsia="Arial" w:cs="Arial" w:ascii="Arial" w:hAnsi="Arial"/>
          <w:sz w:val="22"/>
          <w:szCs w:val="22"/>
          <w:lang w:val="sk-SK"/>
        </w:rPr>
        <w:t>starosta obce</w:t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22"/>
        <w:u w:val="none"/>
        <w:szCs w:val="22"/>
        <w:rFonts w:eastAsia="Arial" w:cs="Arial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3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3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2"/>
        <w:b/>
        <w:szCs w:val="22"/>
        <w:rFonts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995">
    <w:name w:val="ListLabel 995"/>
    <w:qFormat/>
    <w:rPr>
      <w:rFonts w:eastAsia="Arial" w:cs="Arial"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DefaultParagraphFont">
    <w:name w:val="Default Paragraph Font"/>
    <w:qFormat/>
    <w:rPr/>
  </w:style>
  <w:style w:type="character" w:styleId="Skypetbinnertext">
    <w:name w:val="skype_tb_innertext"/>
    <w:basedOn w:val="DefaultParagraphFont"/>
    <w:qFormat/>
    <w:rPr/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001">
    <w:name w:val="ListLabel 1001"/>
    <w:qFormat/>
    <w:rPr>
      <w:rFonts w:ascii="Arial" w:hAnsi="Arial" w:cs="Arial"/>
      <w:b w:val="false"/>
      <w:sz w:val="22"/>
      <w:szCs w:val="22"/>
    </w:rPr>
  </w:style>
  <w:style w:type="character" w:styleId="ListLabel998">
    <w:name w:val="ListLabel 998"/>
    <w:qFormat/>
    <w:rPr>
      <w:rFonts w:eastAsia="Arial" w:cs="Arial"/>
      <w:b w:val="false"/>
      <w:sz w:val="22"/>
      <w:szCs w:val="22"/>
    </w:rPr>
  </w:style>
  <w:style w:type="character" w:styleId="ListLabel990">
    <w:name w:val="ListLabel 990"/>
    <w:qFormat/>
    <w:rPr>
      <w:rFonts w:ascii="Arial" w:hAnsi="Arial" w:cs="OpenSymbol"/>
      <w:b/>
      <w:sz w:val="22"/>
      <w:szCs w:val="22"/>
    </w:rPr>
  </w:style>
  <w:style w:type="character" w:styleId="ListLabel991">
    <w:name w:val="ListLabel 991"/>
    <w:qFormat/>
    <w:rPr>
      <w:b/>
    </w:rPr>
  </w:style>
  <w:style w:type="character" w:styleId="ListLabel993">
    <w:name w:val="ListLabel 993"/>
    <w:qFormat/>
    <w:rPr>
      <w:b w:val="false"/>
      <w:sz w:val="22"/>
      <w:szCs w:val="22"/>
    </w:rPr>
  </w:style>
  <w:style w:type="character" w:styleId="ListLabel992">
    <w:name w:val="ListLabel 992"/>
    <w:qFormat/>
    <w:rPr>
      <w:rFonts w:eastAsia="Arial" w:cs="Arial"/>
      <w:b w:val="false"/>
      <w:sz w:val="22"/>
      <w:szCs w:val="22"/>
    </w:rPr>
  </w:style>
  <w:style w:type="character" w:styleId="ListLabel994">
    <w:name w:val="ListLabel 994"/>
    <w:qFormat/>
    <w:rPr>
      <w:rFonts w:eastAsia="Arial" w:cs="Arial"/>
      <w:b w:val="false"/>
      <w:sz w:val="22"/>
      <w:szCs w:val="22"/>
    </w:rPr>
  </w:style>
  <w:style w:type="character" w:styleId="ListLabel1002">
    <w:name w:val="ListLabel 1002"/>
    <w:qFormat/>
    <w:rPr>
      <w:rFonts w:eastAsia="Arial" w:cs="Arial"/>
      <w:sz w:val="22"/>
      <w:szCs w:val="22"/>
      <w:u w:val="none"/>
    </w:rPr>
  </w:style>
  <w:style w:type="character" w:styleId="ListLabel1003">
    <w:name w:val="ListLabel 1003"/>
    <w:qFormat/>
    <w:rPr>
      <w:rFonts w:eastAsia="Arial" w:cs="Arial"/>
      <w:b w:val="false"/>
      <w:sz w:val="22"/>
      <w:szCs w:val="22"/>
    </w:rPr>
  </w:style>
  <w:style w:type="character" w:styleId="ListLabel1004">
    <w:name w:val="ListLabel 1004"/>
    <w:qFormat/>
    <w:rPr>
      <w:rFonts w:cs="OpenSymbol"/>
      <w:b/>
      <w:sz w:val="22"/>
      <w:szCs w:val="22"/>
    </w:rPr>
  </w:style>
  <w:style w:type="character" w:styleId="ListLabel1005">
    <w:name w:val="ListLabel 1005"/>
    <w:qFormat/>
    <w:rPr>
      <w:b/>
    </w:rPr>
  </w:style>
  <w:style w:type="character" w:styleId="ListLabel1006">
    <w:name w:val="ListLabel 1006"/>
    <w:qFormat/>
    <w:rPr>
      <w:b w:val="false"/>
      <w:sz w:val="22"/>
      <w:szCs w:val="22"/>
    </w:rPr>
  </w:style>
  <w:style w:type="character" w:styleId="ListLabel1007">
    <w:name w:val="ListLabel 1007"/>
    <w:qFormat/>
    <w:rPr>
      <w:rFonts w:eastAsia="Arial" w:cs="Arial"/>
      <w:b w:val="false"/>
      <w:sz w:val="22"/>
      <w:szCs w:val="22"/>
    </w:rPr>
  </w:style>
  <w:style w:type="character" w:styleId="ListLabel1008">
    <w:name w:val="ListLabel 1008"/>
    <w:qFormat/>
    <w:rPr>
      <w:rFonts w:eastAsia="Arial" w:cs="Arial"/>
      <w:b w:val="false"/>
      <w:sz w:val="22"/>
      <w:szCs w:val="22"/>
    </w:rPr>
  </w:style>
  <w:style w:type="character" w:styleId="ListLabel1009">
    <w:name w:val="ListLabel 1009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cudevici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8</Pages>
  <Words>2207</Words>
  <Characters>13344</Characters>
  <CharactersWithSpaces>15997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2020-03-31T21:42:55Z</dcterms:modified>
  <cp:revision>2</cp:revision>
  <dc:subject/>
  <dc:title/>
</cp:coreProperties>
</file>